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4" w:rsidRDefault="00A01934" w:rsidP="00A01934">
      <w:pPr>
        <w:spacing w:before="240" w:after="240"/>
        <w:jc w:val="center"/>
        <w:rPr>
          <w:rFonts w:ascii="Arial" w:hAnsi="Arial" w:cs="Arial"/>
          <w:smallCaps/>
          <w:color w:val="E36C0A" w:themeColor="accent6" w:themeShade="B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mallCaps/>
          <w:color w:val="E36C0A" w:themeColor="accent6" w:themeShade="BF"/>
          <w:sz w:val="32"/>
          <w:szCs w:val="32"/>
        </w:rPr>
        <w:t>Facultad de Ciencias Empresariales y del Trabajo de Soria: PAS e Instalaciones</w:t>
      </w:r>
    </w:p>
    <w:p w:rsidR="00A01934" w:rsidRPr="00A01934" w:rsidRDefault="00A01934" w:rsidP="00A01934">
      <w:pPr>
        <w:spacing w:before="240" w:after="240"/>
        <w:jc w:val="both"/>
        <w:rPr>
          <w:rFonts w:ascii="Arial" w:hAnsi="Arial" w:cs="Arial"/>
          <w:smallCaps/>
          <w:color w:val="E36C0A" w:themeColor="accent6" w:themeShade="BF"/>
          <w:sz w:val="32"/>
          <w:szCs w:val="32"/>
        </w:rPr>
      </w:pPr>
      <w:r w:rsidRPr="00A01934">
        <w:rPr>
          <w:rFonts w:ascii="Arial" w:hAnsi="Arial" w:cs="Arial"/>
          <w:smallCaps/>
          <w:color w:val="E36C0A" w:themeColor="accent6" w:themeShade="BF"/>
          <w:sz w:val="32"/>
          <w:szCs w:val="32"/>
        </w:rPr>
        <w:t>Relación de PAS: funciones y dedicación.</w:t>
      </w:r>
    </w:p>
    <w:p w:rsidR="00A01934" w:rsidRDefault="00A01934" w:rsidP="00A01934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Facultad de Ciencias Empresariales y del Trabajo, como todos los centros del Campus Duques de Soria, está albergada dentro de un único edificio multiusos; es por ello que el Centro cuenta con el Personal de Administración y Servicios de la Unidad Administrativa Territorial, para tareas generales de gestión, de matriculación de alumnos y de contratación de profesorado.</w:t>
      </w:r>
    </w:p>
    <w:p w:rsidR="00A01934" w:rsidRDefault="00A01934" w:rsidP="00A01934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Aparte de este colectivo, el Centro cuenta con un administrativo adscrito y dedicado en exclusiva a atender las cuestiones y asuntos propios de la Facultad.</w:t>
      </w:r>
    </w:p>
    <w:p w:rsidR="00A01934" w:rsidRDefault="00A01934" w:rsidP="00A01934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supuesto el Centro también cuenta con el resto del Personal de Servicios común del Campus Duques de Soria que atiende las necesidades y tareas de todos los centros. La tabla que sigue recoge en detalle la dotación global de PAS del Campus.</w:t>
      </w:r>
    </w:p>
    <w:p w:rsidR="00A01934" w:rsidRPr="00242649" w:rsidRDefault="00A01934" w:rsidP="00A01934">
      <w:pPr>
        <w:spacing w:before="240"/>
        <w:jc w:val="center"/>
        <w:rPr>
          <w:rFonts w:ascii="Arial" w:hAnsi="Arial" w:cs="Arial"/>
          <w:i/>
          <w:sz w:val="22"/>
          <w:szCs w:val="22"/>
        </w:rPr>
      </w:pPr>
      <w:r w:rsidRPr="00242649">
        <w:rPr>
          <w:rFonts w:ascii="Arial" w:hAnsi="Arial" w:cs="Arial"/>
          <w:i/>
          <w:sz w:val="22"/>
          <w:szCs w:val="22"/>
        </w:rPr>
        <w:t>Tabla. Relación de PAS del Campus Duques de Soria</w:t>
      </w:r>
    </w:p>
    <w:tbl>
      <w:tblPr>
        <w:tblStyle w:val="Tablaconcuadrcula"/>
        <w:tblW w:w="5000" w:type="pct"/>
        <w:tblLook w:val="04A0"/>
      </w:tblPr>
      <w:tblGrid>
        <w:gridCol w:w="4837"/>
        <w:gridCol w:w="2701"/>
        <w:gridCol w:w="1182"/>
      </w:tblGrid>
      <w:tr w:rsidR="00A01934" w:rsidRPr="0056363A" w:rsidTr="00054FF1">
        <w:tc>
          <w:tcPr>
            <w:tcW w:w="2773" w:type="pct"/>
            <w:vAlign w:val="center"/>
          </w:tcPr>
          <w:p w:rsidR="00A01934" w:rsidRPr="0056363A" w:rsidRDefault="00A01934" w:rsidP="00054FF1">
            <w:pPr>
              <w:jc w:val="center"/>
              <w:rPr>
                <w:rFonts w:ascii="Arial" w:hAnsi="Arial" w:cs="Arial"/>
                <w:smallCaps/>
              </w:rPr>
            </w:pPr>
            <w:r w:rsidRPr="0056363A">
              <w:rPr>
                <w:rFonts w:ascii="Arial" w:hAnsi="Arial" w:cs="Arial"/>
                <w:smallCaps/>
              </w:rPr>
              <w:t>Categoría</w:t>
            </w:r>
          </w:p>
        </w:tc>
        <w:tc>
          <w:tcPr>
            <w:tcW w:w="1549" w:type="pct"/>
            <w:vAlign w:val="center"/>
          </w:tcPr>
          <w:p w:rsidR="00A01934" w:rsidRPr="0056363A" w:rsidRDefault="00A01934" w:rsidP="00054FF1">
            <w:pPr>
              <w:jc w:val="center"/>
              <w:rPr>
                <w:rFonts w:ascii="Arial" w:hAnsi="Arial" w:cs="Arial"/>
                <w:smallCaps/>
              </w:rPr>
            </w:pPr>
            <w:r w:rsidRPr="0056363A">
              <w:rPr>
                <w:rFonts w:ascii="Arial" w:hAnsi="Arial" w:cs="Arial"/>
                <w:smallCaps/>
              </w:rPr>
              <w:t>Tipo de vinculación</w:t>
            </w:r>
          </w:p>
        </w:tc>
        <w:tc>
          <w:tcPr>
            <w:tcW w:w="678" w:type="pct"/>
            <w:vAlign w:val="center"/>
          </w:tcPr>
          <w:p w:rsidR="00A01934" w:rsidRPr="0056363A" w:rsidRDefault="00A01934" w:rsidP="00054FF1">
            <w:pPr>
              <w:jc w:val="center"/>
              <w:rPr>
                <w:rFonts w:ascii="Arial" w:hAnsi="Arial" w:cs="Arial"/>
                <w:smallCaps/>
              </w:rPr>
            </w:pPr>
            <w:r w:rsidRPr="0056363A">
              <w:rPr>
                <w:rFonts w:ascii="Arial" w:hAnsi="Arial" w:cs="Arial"/>
                <w:smallCaps/>
              </w:rPr>
              <w:t>Número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Jefes de Sección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Funcionario de carrera (F)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 de Biblioteca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Jefes de Negociado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Secretarias administrativas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especialista de redes y comunicaciones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Laboral fijo (L)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especialista de biblioteca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especialista oficios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751C4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deportes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751C4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especialista administración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751C4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especialista laboratorios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751C4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de secretaría administrativa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Oficial de biblioteca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C964B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Oficial de oficios, información, mantenimiento y administración</w:t>
            </w:r>
          </w:p>
        </w:tc>
        <w:tc>
          <w:tcPr>
            <w:tcW w:w="1549" w:type="pct"/>
            <w:vAlign w:val="center"/>
          </w:tcPr>
          <w:p w:rsidR="00A01934" w:rsidRDefault="00A01934" w:rsidP="00054FF1">
            <w:pPr>
              <w:jc w:val="center"/>
            </w:pPr>
            <w:r w:rsidRPr="00C964B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informática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C964B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1934" w:rsidTr="00054FF1">
        <w:tc>
          <w:tcPr>
            <w:tcW w:w="2773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de servicios</w:t>
            </w:r>
          </w:p>
        </w:tc>
        <w:tc>
          <w:tcPr>
            <w:tcW w:w="1549" w:type="pct"/>
          </w:tcPr>
          <w:p w:rsidR="00A01934" w:rsidRDefault="00A01934" w:rsidP="00054FF1">
            <w:pPr>
              <w:jc w:val="center"/>
            </w:pPr>
            <w:r w:rsidRPr="00C964B2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78" w:type="pct"/>
            <w:vAlign w:val="center"/>
          </w:tcPr>
          <w:p w:rsidR="00A01934" w:rsidRDefault="00A01934" w:rsidP="00054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A01934" w:rsidRPr="00030E08" w:rsidRDefault="00A01934" w:rsidP="00A01934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30E08">
        <w:rPr>
          <w:rFonts w:ascii="Arial" w:hAnsi="Arial" w:cs="Arial"/>
          <w:sz w:val="22"/>
          <w:szCs w:val="22"/>
        </w:rPr>
        <w:t>Las funciones desarrolladas por las diferentes categorías mencionadas en la tabla precedente son las establecidas en la normativa que las regula.</w:t>
      </w:r>
    </w:p>
    <w:p w:rsidR="00A01934" w:rsidRPr="00A01934" w:rsidRDefault="00A01934" w:rsidP="00A01934">
      <w:pPr>
        <w:spacing w:before="240" w:after="240"/>
        <w:jc w:val="both"/>
        <w:rPr>
          <w:rFonts w:ascii="Arial" w:hAnsi="Arial" w:cs="Arial"/>
          <w:smallCaps/>
          <w:color w:val="E36C0A" w:themeColor="accent6" w:themeShade="BF"/>
          <w:sz w:val="32"/>
          <w:szCs w:val="32"/>
        </w:rPr>
      </w:pPr>
      <w:r w:rsidRPr="00A01934">
        <w:rPr>
          <w:rFonts w:ascii="Arial" w:hAnsi="Arial" w:cs="Arial"/>
          <w:smallCaps/>
          <w:color w:val="E36C0A" w:themeColor="accent6" w:themeShade="BF"/>
          <w:sz w:val="32"/>
          <w:szCs w:val="32"/>
        </w:rPr>
        <w:t>Determinación del emplazamiento del Centro</w:t>
      </w:r>
    </w:p>
    <w:p w:rsidR="00A01934" w:rsidRDefault="00A01934" w:rsidP="00A01934">
      <w:pPr>
        <w:spacing w:before="360"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Facultad de Ciencias Empresariales y del Trabajo forma parte de los centros que integran el Campus Duques de Soria, ubicado al sur de la ciudad de Soria. El Campus es de fácil accesibilidad y cuenta con amplios espacios para aparcamiento además de zonas ajardinadas.</w:t>
      </w:r>
    </w:p>
    <w:p w:rsidR="00A01934" w:rsidRPr="004A61C6" w:rsidRDefault="00A01934" w:rsidP="00A01934">
      <w:pPr>
        <w:spacing w:before="360"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 edificio en el que se ubica el Campus es de tipo modular, a la par que tiene carácter multidisciplinar. Concretamente, la Facultad de Ciencias Empresariales y del Trabajo se ubica en el módulo 3 de dichas instalaciones.</w:t>
      </w:r>
    </w:p>
    <w:p w:rsidR="00A01934" w:rsidRPr="00A01934" w:rsidRDefault="00A01934" w:rsidP="00A01934">
      <w:pPr>
        <w:spacing w:before="240" w:after="360"/>
        <w:jc w:val="both"/>
        <w:rPr>
          <w:rFonts w:ascii="Arial" w:hAnsi="Arial" w:cs="Arial"/>
          <w:smallCaps/>
          <w:color w:val="E36C0A" w:themeColor="accent6" w:themeShade="BF"/>
          <w:sz w:val="32"/>
          <w:szCs w:val="32"/>
        </w:rPr>
      </w:pPr>
      <w:r w:rsidRPr="00A01934">
        <w:rPr>
          <w:rFonts w:ascii="Arial" w:hAnsi="Arial" w:cs="Arial"/>
          <w:smallCaps/>
          <w:color w:val="E36C0A" w:themeColor="accent6" w:themeShade="BF"/>
          <w:sz w:val="32"/>
          <w:szCs w:val="32"/>
        </w:rPr>
        <w:t xml:space="preserve">Descripción de los espacios físicos: aulas, laboratorios, seminarios, biblioteca, </w:t>
      </w:r>
      <w:proofErr w:type="spellStart"/>
      <w:r w:rsidRPr="00A01934">
        <w:rPr>
          <w:rFonts w:ascii="Arial" w:hAnsi="Arial" w:cs="Arial"/>
          <w:smallCaps/>
          <w:color w:val="E36C0A" w:themeColor="accent6" w:themeShade="BF"/>
          <w:sz w:val="32"/>
          <w:szCs w:val="32"/>
        </w:rPr>
        <w:t>etc</w:t>
      </w:r>
      <w:proofErr w:type="spellEnd"/>
    </w:p>
    <w:p w:rsidR="00A01934" w:rsidRDefault="00A01934" w:rsidP="00A01934">
      <w:pPr>
        <w:spacing w:before="240" w:after="36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ya hemos indicado, e</w:t>
      </w:r>
      <w:r w:rsidRPr="002D527B">
        <w:rPr>
          <w:rFonts w:ascii="Arial" w:hAnsi="Arial" w:cs="Arial"/>
          <w:sz w:val="22"/>
          <w:szCs w:val="22"/>
        </w:rPr>
        <w:t>l edificio en el que se ubica el Campus es de tipo modular, a la par que tiene carácter multidisciplinar. Esto hace que los diferentes centros puedan disponer de todas las dependencias. Pese a esta versatilidad, cada Centro dispone de espacios asignados de manera preferente como pueden ser laboratorios, seminarios o despachos.</w:t>
      </w:r>
    </w:p>
    <w:p w:rsidR="00A01934" w:rsidRDefault="00A01934" w:rsidP="00A01934">
      <w:pPr>
        <w:spacing w:before="240" w:after="360"/>
        <w:ind w:firstLine="709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El centro, además de estar adaptado para personas con discapacidad (tanto en el acceso, como en aulas,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>biblioteca, servicio de reprografía, cafetería, seminarios y departamentos, ascensores, etc.), cuenta con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>equipamiento audiovisual e informático para garantizar una enseñanza de calidad y adaptada a los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>requerimientos de las nuevas metodologías de enseñanza-aprendizaje.</w:t>
      </w:r>
    </w:p>
    <w:p w:rsidR="00A01934" w:rsidRPr="00AB5A45" w:rsidRDefault="00A01934" w:rsidP="00A01934">
      <w:pPr>
        <w:spacing w:before="240" w:after="360"/>
        <w:ind w:firstLine="709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A continuación se describen los distintos espacios con los que se cuenta para el desarrollo de la titulación.</w:t>
      </w:r>
    </w:p>
    <w:p w:rsidR="00A01934" w:rsidRPr="00AB5A45" w:rsidRDefault="00A01934" w:rsidP="00A01934">
      <w:pPr>
        <w:spacing w:before="240" w:after="360"/>
        <w:ind w:firstLine="709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El Campus de Soria dispone de grandes aulas para albergar los grupos numerosos que contempla la titulación.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 xml:space="preserve">De hecho, la </w:t>
      </w:r>
      <w:r>
        <w:rPr>
          <w:rFonts w:ascii="Arial" w:hAnsi="Arial" w:cs="Arial"/>
          <w:sz w:val="22"/>
          <w:szCs w:val="22"/>
        </w:rPr>
        <w:t>Facultad</w:t>
      </w:r>
      <w:r w:rsidRPr="00AB5A45">
        <w:rPr>
          <w:rFonts w:ascii="Arial" w:hAnsi="Arial" w:cs="Arial"/>
          <w:sz w:val="22"/>
          <w:szCs w:val="22"/>
        </w:rPr>
        <w:t xml:space="preserve"> de Ciencias Empresariales y del Trabajo de Soria viene utilizando habitualmente las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>siguientes:</w:t>
      </w:r>
    </w:p>
    <w:p w:rsidR="00A01934" w:rsidRPr="00AB5A45" w:rsidRDefault="00A01934" w:rsidP="00A01934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4 aulas de formación de entre 60 y 110 puestos</w:t>
      </w:r>
    </w:p>
    <w:p w:rsidR="00A01934" w:rsidRPr="00AB5A45" w:rsidRDefault="00A01934" w:rsidP="00A01934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1 aula de formación entre 60 y 84 puestos</w:t>
      </w:r>
    </w:p>
    <w:p w:rsidR="00A01934" w:rsidRPr="00AB5A45" w:rsidRDefault="00A01934" w:rsidP="00A01934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El campus dispone a su vez de varias aulas de tamaño medio y reducido (óptimas para el trabajo en seminarios</w:t>
      </w:r>
      <w:r>
        <w:rPr>
          <w:rFonts w:ascii="Arial" w:hAnsi="Arial" w:cs="Arial"/>
          <w:sz w:val="22"/>
          <w:szCs w:val="22"/>
        </w:rPr>
        <w:t xml:space="preserve"> </w:t>
      </w:r>
      <w:r w:rsidRPr="00AB5A45">
        <w:rPr>
          <w:rFonts w:ascii="Arial" w:hAnsi="Arial" w:cs="Arial"/>
          <w:sz w:val="22"/>
          <w:szCs w:val="22"/>
        </w:rPr>
        <w:t>y en pequeños grupos) como las siguientes:</w:t>
      </w:r>
    </w:p>
    <w:p w:rsidR="00A01934" w:rsidRPr="00AB5A45" w:rsidRDefault="00A01934" w:rsidP="00A01934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B1: 36 puestos, ubicada en módulo 2, planta baja</w:t>
      </w:r>
    </w:p>
    <w:p w:rsidR="00A01934" w:rsidRPr="00AB5A45" w:rsidRDefault="00A01934" w:rsidP="00A01934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B2: 48 puestos, ubicada en módulo 2, planta baja</w:t>
      </w:r>
    </w:p>
    <w:p w:rsidR="00A01934" w:rsidRPr="00AB5A45" w:rsidRDefault="00A01934" w:rsidP="00A01934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B8: 18 puestos, ubicada en módulo 2, planta baja</w:t>
      </w:r>
    </w:p>
    <w:p w:rsidR="00A01934" w:rsidRPr="00AB5A45" w:rsidRDefault="00A01934" w:rsidP="00A01934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>B9: 18 puestos, ubicada en módulo 2, planta baja</w:t>
      </w:r>
    </w:p>
    <w:p w:rsidR="00A01934" w:rsidRPr="00AB5A45" w:rsidRDefault="00A01934" w:rsidP="00A01934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B5A45">
        <w:rPr>
          <w:rFonts w:ascii="Arial" w:hAnsi="Arial" w:cs="Arial"/>
          <w:sz w:val="22"/>
          <w:szCs w:val="22"/>
        </w:rPr>
        <w:t xml:space="preserve">Todas las aulas grandes disponen de medios audiovisuales, concretamente retroproyectores, unidades fijas </w:t>
      </w:r>
      <w:proofErr w:type="spellStart"/>
      <w:r w:rsidRPr="00AB5A45">
        <w:rPr>
          <w:rFonts w:ascii="Arial" w:hAnsi="Arial" w:cs="Arial"/>
          <w:sz w:val="22"/>
          <w:szCs w:val="22"/>
        </w:rPr>
        <w:t>deCPU</w:t>
      </w:r>
      <w:proofErr w:type="spellEnd"/>
      <w:r w:rsidRPr="00AB5A45">
        <w:rPr>
          <w:rFonts w:ascii="Arial" w:hAnsi="Arial" w:cs="Arial"/>
          <w:sz w:val="22"/>
          <w:szCs w:val="22"/>
        </w:rPr>
        <w:t xml:space="preserve">, televisores con DVD y cañones </w:t>
      </w:r>
      <w:proofErr w:type="spellStart"/>
      <w:r w:rsidRPr="00AB5A45">
        <w:rPr>
          <w:rFonts w:ascii="Arial" w:hAnsi="Arial" w:cs="Arial"/>
          <w:sz w:val="22"/>
          <w:szCs w:val="22"/>
        </w:rPr>
        <w:t>videoproyectores</w:t>
      </w:r>
      <w:proofErr w:type="spellEnd"/>
      <w:r w:rsidRPr="00AB5A45">
        <w:rPr>
          <w:rFonts w:ascii="Arial" w:hAnsi="Arial" w:cs="Arial"/>
          <w:sz w:val="22"/>
          <w:szCs w:val="22"/>
        </w:rPr>
        <w:t>. En las aulas pequeñas se dispone de retroproyectores y armarios audiovisuales (VHS+TV+DVD). Al mismo tiempo, el campus está equipando las distintas aulas con pizarras digitales.</w:t>
      </w:r>
    </w:p>
    <w:p w:rsidR="00A01934" w:rsidRPr="00AB5A45" w:rsidRDefault="00A01934" w:rsidP="00A01934">
      <w:pPr>
        <w:autoSpaceDE w:val="0"/>
        <w:autoSpaceDN w:val="0"/>
        <w:adjustRightInd w:val="0"/>
        <w:spacing w:after="360"/>
        <w:rPr>
          <w:rFonts w:ascii="Arial" w:hAnsi="Arial" w:cs="Arial"/>
          <w:bCs/>
          <w:smallCaps/>
          <w:color w:val="E36C0A" w:themeColor="accent6" w:themeShade="BF"/>
          <w:sz w:val="28"/>
          <w:szCs w:val="28"/>
        </w:rPr>
      </w:pPr>
      <w:r w:rsidRPr="00AB5A45">
        <w:rPr>
          <w:rFonts w:ascii="Arial" w:hAnsi="Arial" w:cs="Arial"/>
          <w:bCs/>
          <w:smallCaps/>
          <w:color w:val="E36C0A" w:themeColor="accent6" w:themeShade="BF"/>
          <w:sz w:val="28"/>
          <w:szCs w:val="28"/>
        </w:rPr>
        <w:t>Aulas específicas</w:t>
      </w:r>
    </w:p>
    <w:p w:rsidR="00A01934" w:rsidRPr="00E157B6" w:rsidRDefault="00A01934" w:rsidP="00A019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 xml:space="preserve">Por otro lado, se dispone de 4 seminarios con capacidad en torno a los 20 alumnos, equipados con retroproyectores, armarios audiovisuales (VHS+TV+DVD) y pizarras digitales. Estos espacios están siendo adaptados para la impartición de la docencia de acuerdo a las nuevas metodologías impulsadas por el Espacio Europeo de Educación Superior, centradas en el aprendizaje del alumnado, y dinámicas de </w:t>
      </w:r>
      <w:r w:rsidRPr="00E157B6">
        <w:rPr>
          <w:rFonts w:ascii="Arial" w:hAnsi="Arial" w:cs="Arial"/>
          <w:sz w:val="22"/>
          <w:szCs w:val="22"/>
        </w:rPr>
        <w:lastRenderedPageBreak/>
        <w:t>trabajo muy participativas, de tal forma que se puedan desarrollar actividades en grupos pequeños.</w:t>
      </w:r>
    </w:p>
    <w:p w:rsidR="00A01934" w:rsidRPr="00AB5A45" w:rsidRDefault="00A01934" w:rsidP="00A01934">
      <w:pPr>
        <w:autoSpaceDE w:val="0"/>
        <w:autoSpaceDN w:val="0"/>
        <w:adjustRightInd w:val="0"/>
        <w:spacing w:before="360" w:after="480"/>
        <w:rPr>
          <w:rFonts w:ascii="Arial" w:hAnsi="Arial" w:cs="Arial"/>
          <w:bCs/>
          <w:smallCaps/>
          <w:color w:val="E36C0A" w:themeColor="accent6" w:themeShade="BF"/>
          <w:sz w:val="28"/>
          <w:szCs w:val="28"/>
        </w:rPr>
      </w:pPr>
      <w:r w:rsidRPr="00AB5A45">
        <w:rPr>
          <w:rFonts w:ascii="Arial" w:hAnsi="Arial" w:cs="Arial"/>
          <w:bCs/>
          <w:smallCaps/>
          <w:color w:val="E36C0A" w:themeColor="accent6" w:themeShade="BF"/>
          <w:sz w:val="28"/>
          <w:szCs w:val="28"/>
        </w:rPr>
        <w:t>Aulas compartidas</w:t>
      </w:r>
    </w:p>
    <w:p w:rsidR="00A01934" w:rsidRPr="00E157B6" w:rsidRDefault="00A01934" w:rsidP="00A01934">
      <w:pPr>
        <w:autoSpaceDE w:val="0"/>
        <w:autoSpaceDN w:val="0"/>
        <w:adjustRightInd w:val="0"/>
        <w:spacing w:before="12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Laboratorio de Idiomas, con capacidad para 36 puestos, dispone de ordenador, pantalla, auricular y micrófono.</w:t>
      </w:r>
    </w:p>
    <w:p w:rsidR="00A01934" w:rsidRPr="00E157B6" w:rsidRDefault="00A01934" w:rsidP="00A01934">
      <w:pPr>
        <w:autoSpaceDE w:val="0"/>
        <w:autoSpaceDN w:val="0"/>
        <w:adjustRightInd w:val="0"/>
        <w:spacing w:before="12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Laboratorios: Laboratorios de uso compartido en el campus con otras titulaciones: Ciencias Naturales y Ciencias Experimentales.</w:t>
      </w:r>
    </w:p>
    <w:p w:rsidR="00A01934" w:rsidRPr="00E157B6" w:rsidRDefault="00A01934" w:rsidP="00A01934">
      <w:pPr>
        <w:autoSpaceDE w:val="0"/>
        <w:autoSpaceDN w:val="0"/>
        <w:adjustRightInd w:val="0"/>
        <w:spacing w:before="12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Sala de Estudio, con capacidad para 112 puestos.</w:t>
      </w:r>
    </w:p>
    <w:p w:rsidR="00A01934" w:rsidRPr="00E157B6" w:rsidRDefault="00A01934" w:rsidP="00A01934">
      <w:pPr>
        <w:autoSpaceDE w:val="0"/>
        <w:autoSpaceDN w:val="0"/>
        <w:adjustRightInd w:val="0"/>
        <w:spacing w:before="12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También se dispone de 3 aulas de informática con capacidad para sesenta alumnos cada una, un Salón de Actos con capacidad para 300 personas y una Sala de Grados con capacidad para 80 personas. La conexión a Internet inalámbrica está disponible en todo el edificio, así como el servicio de videoconferencia.</w:t>
      </w:r>
    </w:p>
    <w:p w:rsidR="00A01934" w:rsidRPr="00AB5A45" w:rsidRDefault="00A01934" w:rsidP="00A01934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smallCaps/>
          <w:color w:val="E36C0A" w:themeColor="accent6" w:themeShade="BF"/>
          <w:sz w:val="28"/>
          <w:szCs w:val="28"/>
        </w:rPr>
      </w:pPr>
      <w:r w:rsidRPr="00AB5A45">
        <w:rPr>
          <w:rFonts w:ascii="Arial" w:hAnsi="Arial" w:cs="Arial"/>
          <w:bCs/>
          <w:smallCaps/>
          <w:color w:val="E36C0A" w:themeColor="accent6" w:themeShade="BF"/>
          <w:sz w:val="28"/>
          <w:szCs w:val="28"/>
        </w:rPr>
        <w:t>Instalaciones de apoyo a Servicios</w:t>
      </w:r>
      <w:r w:rsidRPr="00AB5A45">
        <w:rPr>
          <w:rFonts w:ascii="Arial" w:hAnsi="Arial" w:cs="Arial"/>
          <w:smallCaps/>
          <w:color w:val="E36C0A" w:themeColor="accent6" w:themeShade="BF"/>
          <w:sz w:val="28"/>
          <w:szCs w:val="28"/>
        </w:rPr>
        <w:t>.</w:t>
      </w:r>
    </w:p>
    <w:p w:rsidR="00A01934" w:rsidRPr="00AB5A45" w:rsidRDefault="00A01934" w:rsidP="00A0193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iCs/>
          <w:smallCaps/>
        </w:rPr>
      </w:pPr>
      <w:r w:rsidRPr="00AB5A45">
        <w:rPr>
          <w:rFonts w:ascii="Arial" w:hAnsi="Arial" w:cs="Arial"/>
          <w:bCs/>
          <w:iCs/>
          <w:smallCaps/>
        </w:rPr>
        <w:t>Secretaría</w:t>
      </w:r>
    </w:p>
    <w:p w:rsidR="00A01934" w:rsidRPr="00E157B6" w:rsidRDefault="00A01934" w:rsidP="00A0193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En el Campus se ubica la Unidad Administrativa Territorial encargada de la matrícula y la gestión administrativa del alumnado de todos los centros de Soria, así como de los contratos, Seguridad Social, Dietas, etc. del profesorado y PAS.</w:t>
      </w:r>
    </w:p>
    <w:p w:rsidR="00A01934" w:rsidRPr="00E157B6" w:rsidRDefault="00A01934" w:rsidP="00A0193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Cada Centro tiene su propia Secretaría administrativa que ejerce funciones de apoyo a la Dirección del Centro y de información y ayuda al alumnado.</w:t>
      </w:r>
    </w:p>
    <w:p w:rsidR="00A01934" w:rsidRPr="00AB5A45" w:rsidRDefault="00A01934" w:rsidP="00A0193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iCs/>
          <w:smallCaps/>
        </w:rPr>
      </w:pPr>
      <w:r w:rsidRPr="00AB5A45">
        <w:rPr>
          <w:rFonts w:ascii="Arial" w:hAnsi="Arial" w:cs="Arial"/>
          <w:bCs/>
          <w:iCs/>
          <w:smallCaps/>
        </w:rPr>
        <w:t>Biblioteca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Situada en la planta primera del módulo, esta instalación consta de un hall con 6 ordenadores habilitados para búsquedas bibliográficas, una sala de lectura con 220 puestos, punto de conexión a Internet y varios lugares diseñados para trabajar en grupo, así como una Hemeroteca, una sala de trabajo en grupo y una sala de estudio con un total de 408 puestos. La Biblioteca cuenta con más 31.000 volúmenes, 256 suscripciones a revistas especializadas, audio y videoteca con más de 150 registros sonoros y videos de contenido pedagógico y social, test-teca con más de 200 test, escalas, cuestionarios e inventarios de naturaleza psicopedagógica. Los usuarios tienen acceso a las bases de datos electrónicas de uso común en la Universidad de Valladolid, así como a las bases específicas ya anteriormente citadas (ABI-</w:t>
      </w:r>
      <w:proofErr w:type="spellStart"/>
      <w:r w:rsidRPr="00E157B6">
        <w:rPr>
          <w:rFonts w:ascii="Arial" w:hAnsi="Arial" w:cs="Arial"/>
          <w:sz w:val="22"/>
          <w:szCs w:val="22"/>
        </w:rPr>
        <w:t>Inform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57B6">
        <w:rPr>
          <w:rFonts w:ascii="Arial" w:hAnsi="Arial" w:cs="Arial"/>
          <w:sz w:val="22"/>
          <w:szCs w:val="22"/>
        </w:rPr>
        <w:t>EconLit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, DSI Campus </w:t>
      </w:r>
      <w:proofErr w:type="spellStart"/>
      <w:r w:rsidRPr="00E157B6">
        <w:rPr>
          <w:rFonts w:ascii="Arial" w:hAnsi="Arial" w:cs="Arial"/>
          <w:sz w:val="22"/>
          <w:szCs w:val="22"/>
        </w:rPr>
        <w:t>Solution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 y Amadeus). Tanto el catálogo de los fondos bibliográficos como las bases de datos son accesibles por Internet.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La incorporación de la biblioteca del Campus a las nuevas tecnologías es un hecho desde hace años. Hoy posee su propio blog, presencia en diferentes redes sociales, tiene app para móvil, etc.</w:t>
      </w:r>
    </w:p>
    <w:p w:rsidR="00A01934" w:rsidRPr="00BE58D7" w:rsidRDefault="00A01934" w:rsidP="00A01934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mallCaps/>
        </w:rPr>
      </w:pPr>
      <w:r w:rsidRPr="00BE58D7">
        <w:rPr>
          <w:rFonts w:ascii="Arial" w:hAnsi="Arial" w:cs="Arial"/>
          <w:bCs/>
          <w:iCs/>
          <w:smallCaps/>
        </w:rPr>
        <w:t>Servicio de Reprografía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lastRenderedPageBreak/>
        <w:t xml:space="preserve">Hay dos servicios de Reprografía, uno para alumnos y otro para profesorado y personal de administración </w:t>
      </w:r>
      <w:proofErr w:type="spellStart"/>
      <w:r w:rsidRPr="00E157B6">
        <w:rPr>
          <w:rFonts w:ascii="Arial" w:hAnsi="Arial" w:cs="Arial"/>
          <w:sz w:val="22"/>
          <w:szCs w:val="22"/>
        </w:rPr>
        <w:t>yservicios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, ambos se encuentran situados en la planta baja del edificio. Con una dotación técnica de </w:t>
      </w:r>
      <w:proofErr w:type="spellStart"/>
      <w:r w:rsidRPr="00E157B6">
        <w:rPr>
          <w:rFonts w:ascii="Arial" w:hAnsi="Arial" w:cs="Arial"/>
          <w:sz w:val="22"/>
          <w:szCs w:val="22"/>
        </w:rPr>
        <w:t>cuatromáquinas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 digitales de medio/alto volumen en blanco y negro y una de color. Se realizan trabajos de reprografía </w:t>
      </w:r>
      <w:proofErr w:type="spellStart"/>
      <w:r w:rsidRPr="00E157B6">
        <w:rPr>
          <w:rFonts w:ascii="Arial" w:hAnsi="Arial" w:cs="Arial"/>
          <w:sz w:val="22"/>
          <w:szCs w:val="22"/>
        </w:rPr>
        <w:t>eimpresión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 de documentos informáticos. Disponen igualmente de encuadernadoras térmica y espiral de alambre.</w:t>
      </w:r>
    </w:p>
    <w:p w:rsidR="00A01934" w:rsidRPr="00BE58D7" w:rsidRDefault="00A01934" w:rsidP="00A0193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iCs/>
          <w:smallCaps/>
        </w:rPr>
      </w:pPr>
      <w:r w:rsidRPr="00BE58D7">
        <w:rPr>
          <w:rFonts w:ascii="Arial" w:hAnsi="Arial" w:cs="Arial"/>
          <w:bCs/>
          <w:iCs/>
          <w:smallCaps/>
        </w:rPr>
        <w:t>Conserjería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 xml:space="preserve">Existen dos. Una central, básicamente para información y atención al público en general y otra, encargada de </w:t>
      </w:r>
      <w:proofErr w:type="spellStart"/>
      <w:r w:rsidRPr="00E157B6">
        <w:rPr>
          <w:rFonts w:ascii="Arial" w:hAnsi="Arial" w:cs="Arial"/>
          <w:sz w:val="22"/>
          <w:szCs w:val="22"/>
        </w:rPr>
        <w:t>lasdiversas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 gestiones de los centros y demás servicios del Campus. Están situadas en la planta baja. Dispone de </w:t>
      </w:r>
      <w:proofErr w:type="spellStart"/>
      <w:r w:rsidRPr="00E157B6">
        <w:rPr>
          <w:rFonts w:ascii="Arial" w:hAnsi="Arial" w:cs="Arial"/>
          <w:sz w:val="22"/>
          <w:szCs w:val="22"/>
        </w:rPr>
        <w:t>unencargado</w:t>
      </w:r>
      <w:proofErr w:type="spellEnd"/>
      <w:r w:rsidRPr="00E157B6">
        <w:rPr>
          <w:rFonts w:ascii="Arial" w:hAnsi="Arial" w:cs="Arial"/>
          <w:sz w:val="22"/>
          <w:szCs w:val="22"/>
        </w:rPr>
        <w:t xml:space="preserve"> de conserjería y de cinco auxiliares de servicios cada una.</w:t>
      </w:r>
    </w:p>
    <w:p w:rsidR="00A01934" w:rsidRPr="00BE58D7" w:rsidRDefault="00A01934" w:rsidP="00A0193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iCs/>
          <w:smallCaps/>
        </w:rPr>
      </w:pPr>
      <w:r w:rsidRPr="00BE58D7">
        <w:rPr>
          <w:rFonts w:ascii="Arial" w:hAnsi="Arial" w:cs="Arial"/>
          <w:bCs/>
          <w:iCs/>
          <w:smallCaps/>
        </w:rPr>
        <w:t>Cafetería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Situado en la planta baja, presta servicio de comedor universitario.</w:t>
      </w:r>
    </w:p>
    <w:p w:rsidR="00A01934" w:rsidRPr="00BE58D7" w:rsidRDefault="00A01934" w:rsidP="00A0193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iCs/>
          <w:smallCaps/>
        </w:rPr>
      </w:pPr>
      <w:r>
        <w:rPr>
          <w:rFonts w:ascii="Arial" w:hAnsi="Arial" w:cs="Arial"/>
          <w:bCs/>
          <w:smallCaps/>
        </w:rPr>
        <w:t xml:space="preserve">Otras dependencias: </w:t>
      </w:r>
      <w:r>
        <w:rPr>
          <w:rFonts w:ascii="Arial" w:hAnsi="Arial" w:cs="Arial"/>
          <w:bCs/>
          <w:iCs/>
          <w:smallCaps/>
        </w:rPr>
        <w:t>Despachos para el profesorado</w:t>
      </w:r>
    </w:p>
    <w:p w:rsidR="00A01934" w:rsidRPr="00E157B6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Distribuidos en dos plantas, se encuentran 121 despachos para el profesorado del Campus de Soria. De ellos, el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 xml:space="preserve">PDI de la </w:t>
      </w:r>
      <w:r>
        <w:rPr>
          <w:rFonts w:ascii="Arial" w:hAnsi="Arial" w:cs="Arial"/>
          <w:sz w:val="22"/>
          <w:szCs w:val="22"/>
        </w:rPr>
        <w:t>Facultad</w:t>
      </w:r>
      <w:r w:rsidRPr="00E157B6">
        <w:rPr>
          <w:rFonts w:ascii="Arial" w:hAnsi="Arial" w:cs="Arial"/>
          <w:sz w:val="22"/>
          <w:szCs w:val="22"/>
        </w:rPr>
        <w:t xml:space="preserve"> ocupa actualmente 17 despachos, de los cuales 12 tienen un tamaño (8 m²) y uso individual,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otros dos son de tamaño individual y se comparten por dos o tres personas, y los cinco restantes tienen un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tamaño (20 m²) apropiado para albergar a cinco profesores cada uno de ellos. Completa la dotación un despacho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de tamaño individual que está cedido a la representación de los alumnos, dos despachos de unos 20 m² cada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 xml:space="preserve">uno dedicados a la Dirección y, conjuntamente, a la Subdirección y Secretaría Académica de la </w:t>
      </w:r>
      <w:r>
        <w:rPr>
          <w:rFonts w:ascii="Arial" w:hAnsi="Arial" w:cs="Arial"/>
          <w:sz w:val="22"/>
          <w:szCs w:val="22"/>
        </w:rPr>
        <w:t>Facultad</w:t>
      </w:r>
      <w:r w:rsidRPr="00E157B6">
        <w:rPr>
          <w:rFonts w:ascii="Arial" w:hAnsi="Arial" w:cs="Arial"/>
          <w:sz w:val="22"/>
          <w:szCs w:val="22"/>
        </w:rPr>
        <w:t>, un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espacio dentro de una estancia común del Campus para la Secretaría Administrativa del Centro, y todo la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infraestructura común de que dispone el Campus.</w:t>
      </w:r>
    </w:p>
    <w:p w:rsidR="005D79DF" w:rsidRPr="00A01934" w:rsidRDefault="00A01934" w:rsidP="00A01934">
      <w:pPr>
        <w:autoSpaceDE w:val="0"/>
        <w:autoSpaceDN w:val="0"/>
        <w:adjustRightInd w:val="0"/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E157B6">
        <w:rPr>
          <w:rFonts w:ascii="Arial" w:hAnsi="Arial" w:cs="Arial"/>
          <w:sz w:val="22"/>
          <w:szCs w:val="22"/>
        </w:rPr>
        <w:t>En todos los despachos se cuenta con mobiliario y equipos informáticos suficientes para atender perfectamente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las necesidades de sus ocupantes. En particular, en todos los despachos de tamaño individual hay, al menos, un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ordenador de sobremesa con conexión a Internet, una conexión telefónica, tres sillas, una mesa, una cajonera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auxiliar y un armario. En los despachos más grandes, lo anterior se multiplica por tres si está destinado al</w:t>
      </w:r>
      <w:r>
        <w:rPr>
          <w:rFonts w:ascii="Arial" w:hAnsi="Arial" w:cs="Arial"/>
          <w:sz w:val="22"/>
          <w:szCs w:val="22"/>
        </w:rPr>
        <w:t xml:space="preserve"> </w:t>
      </w:r>
      <w:r w:rsidRPr="00E157B6">
        <w:rPr>
          <w:rFonts w:ascii="Arial" w:hAnsi="Arial" w:cs="Arial"/>
          <w:sz w:val="22"/>
          <w:szCs w:val="22"/>
        </w:rPr>
        <w:t>profesorado y en la forma correspondiente si tiene otro fin.</w:t>
      </w:r>
    </w:p>
    <w:sectPr w:rsidR="005D79DF" w:rsidRPr="00A01934" w:rsidSect="00C4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E16"/>
    <w:multiLevelType w:val="hybridMultilevel"/>
    <w:tmpl w:val="CBD09E3C"/>
    <w:lvl w:ilvl="0" w:tplc="3FA88E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27FA"/>
    <w:multiLevelType w:val="hybridMultilevel"/>
    <w:tmpl w:val="C6E60D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6B0AC5"/>
    <w:multiLevelType w:val="hybridMultilevel"/>
    <w:tmpl w:val="9ED00DC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A01934"/>
    <w:rsid w:val="003756B6"/>
    <w:rsid w:val="005D79DF"/>
    <w:rsid w:val="009605A8"/>
    <w:rsid w:val="00A01934"/>
    <w:rsid w:val="00C4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934"/>
    <w:pPr>
      <w:ind w:left="720"/>
      <w:contextualSpacing/>
    </w:pPr>
  </w:style>
  <w:style w:type="table" w:styleId="Tablaconcuadrcula">
    <w:name w:val="Table Grid"/>
    <w:basedOn w:val="Tablanormal"/>
    <w:rsid w:val="00A0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934"/>
    <w:pPr>
      <w:ind w:left="720"/>
      <w:contextualSpacing/>
    </w:pPr>
  </w:style>
  <w:style w:type="table" w:styleId="Tablaconcuadrcula">
    <w:name w:val="Table Grid"/>
    <w:basedOn w:val="Tablanormal"/>
    <w:rsid w:val="00A0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Nombre de usuario</cp:lastModifiedBy>
  <cp:revision>2</cp:revision>
  <dcterms:created xsi:type="dcterms:W3CDTF">2015-09-30T14:28:00Z</dcterms:created>
  <dcterms:modified xsi:type="dcterms:W3CDTF">2015-09-30T14:28:00Z</dcterms:modified>
</cp:coreProperties>
</file>