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AD" w:rsidRDefault="006A1CD7" w:rsidP="006A1CD7">
      <w:pPr>
        <w:jc w:val="center"/>
        <w:rPr>
          <w:b/>
          <w:sz w:val="32"/>
          <w:szCs w:val="32"/>
        </w:rPr>
      </w:pPr>
      <w:r>
        <w:rPr>
          <w:b/>
          <w:sz w:val="32"/>
          <w:szCs w:val="32"/>
        </w:rPr>
        <w:t xml:space="preserve">PROPUESTAS </w:t>
      </w:r>
      <w:r w:rsidRPr="006A1CD7">
        <w:rPr>
          <w:b/>
          <w:sz w:val="32"/>
          <w:szCs w:val="32"/>
        </w:rPr>
        <w:t xml:space="preserve">FACULTAD </w:t>
      </w:r>
      <w:r>
        <w:rPr>
          <w:b/>
          <w:sz w:val="32"/>
          <w:szCs w:val="32"/>
        </w:rPr>
        <w:t xml:space="preserve">TEMAS </w:t>
      </w:r>
      <w:proofErr w:type="spellStart"/>
      <w:r>
        <w:rPr>
          <w:b/>
          <w:sz w:val="32"/>
          <w:szCs w:val="32"/>
        </w:rPr>
        <w:t>TFGs</w:t>
      </w:r>
      <w:proofErr w:type="spellEnd"/>
      <w:r>
        <w:rPr>
          <w:b/>
          <w:sz w:val="32"/>
          <w:szCs w:val="32"/>
        </w:rPr>
        <w:t xml:space="preserve"> ADE – curso 2021/22</w:t>
      </w:r>
    </w:p>
    <w:p w:rsidR="006A1CD7" w:rsidRPr="006A1CD7" w:rsidRDefault="006A1CD7">
      <w:pPr>
        <w:rPr>
          <w:b/>
          <w:sz w:val="32"/>
          <w:szCs w:val="32"/>
        </w:rPr>
      </w:pPr>
    </w:p>
    <w:tbl>
      <w:tblPr>
        <w:tblStyle w:val="Tablaconcuadrcula"/>
        <w:tblW w:w="0" w:type="auto"/>
        <w:tblLook w:val="04A0" w:firstRow="1" w:lastRow="0" w:firstColumn="1" w:lastColumn="0" w:noHBand="0" w:noVBand="1"/>
      </w:tblPr>
      <w:tblGrid>
        <w:gridCol w:w="11052"/>
        <w:gridCol w:w="2940"/>
      </w:tblGrid>
      <w:tr w:rsidR="00955C3A" w:rsidTr="00847FB7">
        <w:trPr>
          <w:tblHeader/>
        </w:trPr>
        <w:tc>
          <w:tcPr>
            <w:tcW w:w="11052" w:type="dxa"/>
          </w:tcPr>
          <w:p w:rsidR="00955C3A" w:rsidRPr="008922E0" w:rsidRDefault="008922E0" w:rsidP="008922E0">
            <w:pPr>
              <w:jc w:val="center"/>
              <w:rPr>
                <w:b/>
                <w:i/>
                <w:sz w:val="24"/>
                <w:szCs w:val="24"/>
              </w:rPr>
            </w:pPr>
            <w:r>
              <w:rPr>
                <w:b/>
                <w:i/>
                <w:sz w:val="24"/>
                <w:szCs w:val="24"/>
              </w:rPr>
              <w:t>TEMAS Y RESUMENES</w:t>
            </w:r>
          </w:p>
        </w:tc>
        <w:tc>
          <w:tcPr>
            <w:tcW w:w="2940" w:type="dxa"/>
          </w:tcPr>
          <w:p w:rsidR="00955C3A" w:rsidRPr="008922E0" w:rsidRDefault="008922E0" w:rsidP="008922E0">
            <w:pPr>
              <w:jc w:val="center"/>
              <w:rPr>
                <w:b/>
                <w:i/>
                <w:sz w:val="24"/>
              </w:rPr>
            </w:pPr>
            <w:r>
              <w:rPr>
                <w:b/>
                <w:i/>
                <w:sz w:val="24"/>
              </w:rPr>
              <w:t>TUTORES</w:t>
            </w:r>
          </w:p>
        </w:tc>
      </w:tr>
      <w:tr w:rsidR="00955C3A" w:rsidTr="00955C3A">
        <w:tc>
          <w:tcPr>
            <w:tcW w:w="11052" w:type="dxa"/>
          </w:tcPr>
          <w:p w:rsidR="00955C3A" w:rsidRPr="00CF5BBA" w:rsidRDefault="00955C3A" w:rsidP="00955C3A">
            <w:pPr>
              <w:jc w:val="both"/>
              <w:rPr>
                <w:b/>
                <w:i/>
              </w:rPr>
            </w:pPr>
            <w:bookmarkStart w:id="0" w:name="_GoBack"/>
            <w:bookmarkEnd w:id="0"/>
            <w:r w:rsidRPr="00CF5BBA">
              <w:rPr>
                <w:b/>
                <w:i/>
              </w:rPr>
              <w:t xml:space="preserve">FISCALIDAD DE LOS PRODUCTOS FINANCIEROS </w:t>
            </w:r>
          </w:p>
          <w:p w:rsidR="00955C3A" w:rsidRDefault="00955C3A" w:rsidP="00955C3A">
            <w:pPr>
              <w:jc w:val="both"/>
            </w:pPr>
            <w:proofErr w:type="gramStart"/>
            <w:r>
              <w:t>El  objetivo</w:t>
            </w:r>
            <w:proofErr w:type="gramEnd"/>
            <w:r>
              <w:t xml:space="preserve">  de  este  trabajo  es orientar  al  ahorrador  en  su  planificación  fiscal, para   ello se  analizará el   tratamiento   fiscal   de   los principales productos financieros prestando especial atención como tributan en el  IRPF. Habida cuenta que </w:t>
            </w:r>
            <w:proofErr w:type="gramStart"/>
            <w:r>
              <w:t>lo  que</w:t>
            </w:r>
            <w:proofErr w:type="gramEnd"/>
            <w:r>
              <w:t xml:space="preserve">  busca un  ahorrador al contratar un producto  financiero es la máxima  rentabilidad,  máxima liquidez  y mínimo  riesgo  para  sus  ahorros,   para conseguir  una  rentabilidad  óptima es  imprescindible conocer cómo  afecta  la  fiscalidad  al  producto  contratado, sobre todo con los últimos cambios normativos en materia tributaria </w:t>
            </w:r>
          </w:p>
          <w:p w:rsidR="00955C3A" w:rsidRDefault="00955C3A"/>
        </w:tc>
        <w:tc>
          <w:tcPr>
            <w:tcW w:w="2940" w:type="dxa"/>
          </w:tcPr>
          <w:p w:rsidR="00955C3A" w:rsidRDefault="00955C3A">
            <w:r>
              <w:t>SONIA ESTEBAN LALEONA</w:t>
            </w:r>
          </w:p>
        </w:tc>
      </w:tr>
      <w:tr w:rsidR="00955C3A" w:rsidTr="00955C3A">
        <w:tc>
          <w:tcPr>
            <w:tcW w:w="11052" w:type="dxa"/>
          </w:tcPr>
          <w:p w:rsidR="00955C3A" w:rsidRPr="00CF5BBA" w:rsidRDefault="00CF5BBA" w:rsidP="00CF5BBA">
            <w:pPr>
              <w:pStyle w:val="csf0a1d375"/>
              <w:spacing w:after="0" w:afterAutospacing="0"/>
              <w:rPr>
                <w:rStyle w:val="cs5e98e9301"/>
                <w:rFonts w:asciiTheme="minorHAnsi" w:hAnsiTheme="minorHAnsi" w:cstheme="minorHAnsi"/>
                <w:b/>
                <w:i/>
                <w:sz w:val="22"/>
                <w:szCs w:val="22"/>
              </w:rPr>
            </w:pPr>
            <w:r w:rsidRPr="00CF5BBA">
              <w:rPr>
                <w:rStyle w:val="cs5e98e9301"/>
                <w:rFonts w:asciiTheme="minorHAnsi" w:hAnsiTheme="minorHAnsi" w:cstheme="minorHAnsi"/>
                <w:b/>
                <w:i/>
                <w:sz w:val="22"/>
                <w:szCs w:val="22"/>
              </w:rPr>
              <w:t>EL PREPACK CONCURSAL EN ESPAÑA</w:t>
            </w:r>
          </w:p>
          <w:p w:rsidR="00955C3A" w:rsidRPr="00CF5BBA" w:rsidRDefault="00955C3A" w:rsidP="00CF5BBA">
            <w:pPr>
              <w:spacing w:line="240" w:lineRule="auto"/>
              <w:jc w:val="both"/>
              <w:rPr>
                <w:rFonts w:cstheme="minorHAnsi"/>
              </w:rPr>
            </w:pPr>
            <w:r w:rsidRPr="00CF5BBA">
              <w:rPr>
                <w:rStyle w:val="csa16174ba1"/>
                <w:rFonts w:cstheme="minorHAnsi"/>
              </w:rPr>
              <w:t>C</w:t>
            </w:r>
            <w:r w:rsidRPr="00CF5BBA">
              <w:rPr>
                <w:rStyle w:val="csd4c8f03b1"/>
                <w:rFonts w:cstheme="minorHAnsi"/>
              </w:rPr>
              <w:t xml:space="preserve">on precedente en el Derecho comparado esta nueva institución del Derecho </w:t>
            </w:r>
            <w:proofErr w:type="spellStart"/>
            <w:r w:rsidRPr="00CF5BBA">
              <w:rPr>
                <w:rStyle w:val="csd4c8f03b1"/>
                <w:rFonts w:cstheme="minorHAnsi"/>
              </w:rPr>
              <w:t>Preconcursal</w:t>
            </w:r>
            <w:proofErr w:type="spellEnd"/>
            <w:r w:rsidRPr="00CF5BBA">
              <w:rPr>
                <w:rStyle w:val="csd4c8f03b1"/>
                <w:rFonts w:cstheme="minorHAnsi"/>
              </w:rPr>
              <w:t xml:space="preserve"> está cobrando fuerza en España por la práctica forense y no por la realidad legislativa. Es un concepto que precisa una mayor definición, matización y explicación. Surge como respuesta a la necesidad de anticipar la venta de la unidad productiva afectada por la declaración ulterior de concurso, facilitando de este modo la enajenación que, al ser anterior a la declaración concursal, no cuenta con el estigma inevitable que conlleva la declaración judicial de insolvencia. Cumple el objetivo de reducir la duración de los procedimientos de insolvencia, aumentando las posibilidades de recuperación de la empresa afectada por dicha situación.</w:t>
            </w:r>
          </w:p>
        </w:tc>
        <w:tc>
          <w:tcPr>
            <w:tcW w:w="2940" w:type="dxa"/>
          </w:tcPr>
          <w:p w:rsidR="00955C3A" w:rsidRDefault="00955C3A">
            <w:r>
              <w:t>MARTA ANDRES GONZALEZ</w:t>
            </w:r>
          </w:p>
        </w:tc>
      </w:tr>
      <w:tr w:rsidR="00955C3A" w:rsidTr="00955C3A">
        <w:tc>
          <w:tcPr>
            <w:tcW w:w="11052" w:type="dxa"/>
          </w:tcPr>
          <w:p w:rsidR="00CB27DD" w:rsidRPr="00CF5BBA" w:rsidRDefault="00CB27DD" w:rsidP="00CB27DD">
            <w:pPr>
              <w:rPr>
                <w:b/>
                <w:i/>
              </w:rPr>
            </w:pPr>
            <w:r w:rsidRPr="00CF5BBA">
              <w:rPr>
                <w:b/>
                <w:i/>
              </w:rPr>
              <w:t xml:space="preserve">EL EMPRESARIO SORIANO DURANTE LA </w:t>
            </w:r>
            <w:proofErr w:type="gramStart"/>
            <w:r w:rsidRPr="00CF5BBA">
              <w:rPr>
                <w:b/>
                <w:i/>
              </w:rPr>
              <w:t>TRANSICIÓN  (</w:t>
            </w:r>
            <w:proofErr w:type="gramEnd"/>
            <w:r w:rsidRPr="00CF5BBA">
              <w:rPr>
                <w:b/>
                <w:i/>
              </w:rPr>
              <w:t>1976-1982).</w:t>
            </w:r>
          </w:p>
          <w:p w:rsidR="00955C3A" w:rsidRPr="00CF5BBA" w:rsidRDefault="00CB27DD" w:rsidP="00CF5BBA">
            <w:pPr>
              <w:jc w:val="both"/>
            </w:pPr>
            <w:r w:rsidRPr="00CF5BBA">
              <w:t>El objetivo de este trabajo será realizar una investigación acerca de la actitud que mostraron el empresariado soriano en un momento de especial trascendencia en la historia de España como fue la transición a la democracia que, como es sabido, coincide con una etapa de crisis económica y de conflictividad social. Se busca determinar cuáles fueron las respuestas a esta situación que se plantearon, así como el sentido de las mismas y los cambios organizativos a los que dio lugar la desaparición del modelo sindical franquista.</w:t>
            </w:r>
          </w:p>
        </w:tc>
        <w:tc>
          <w:tcPr>
            <w:tcW w:w="2940" w:type="dxa"/>
          </w:tcPr>
          <w:p w:rsidR="00955C3A" w:rsidRDefault="00CB27DD">
            <w:r>
              <w:t>JUAN ANTONIO CANO GARCIA</w:t>
            </w:r>
          </w:p>
        </w:tc>
      </w:tr>
      <w:tr w:rsidR="00955C3A" w:rsidTr="00955C3A">
        <w:tc>
          <w:tcPr>
            <w:tcW w:w="11052" w:type="dxa"/>
          </w:tcPr>
          <w:p w:rsidR="00AA05D9" w:rsidRPr="00CF5BBA" w:rsidRDefault="00AA05D9" w:rsidP="00AA05D9">
            <w:pPr>
              <w:rPr>
                <w:b/>
                <w:i/>
              </w:rPr>
            </w:pPr>
            <w:r w:rsidRPr="00CF5BBA">
              <w:rPr>
                <w:b/>
                <w:i/>
              </w:rPr>
              <w:t>REPERCUSIONES FORMALES Y ECONOMICAS DEL TELETRABAJO.</w:t>
            </w:r>
          </w:p>
          <w:p w:rsidR="00955C3A" w:rsidRDefault="00AA05D9" w:rsidP="00CF5BBA">
            <w:pPr>
              <w:jc w:val="both"/>
            </w:pPr>
            <w:r>
              <w:t xml:space="preserve">Durante los primeros momentos de la pandemia por COVID 19 el teletrabajo se descubrió por muchas empresas y se extendió a muchos trabajadores. Se ha comprobado que es una alternativa a la forma presencial del trabajo, y en muchas empresas ha llegado para quedarse. No </w:t>
            </w:r>
            <w:proofErr w:type="gramStart"/>
            <w:r>
              <w:t>obstante</w:t>
            </w:r>
            <w:proofErr w:type="gramEnd"/>
            <w:r>
              <w:t xml:space="preserve"> existen numerosas dudas sobre si todos los gastos que se generan por el </w:t>
            </w:r>
            <w:r>
              <w:lastRenderedPageBreak/>
              <w:t xml:space="preserve">teletrabajo deben ser asumidos por la empresa, (electricidad, calefacción, conexión a internet, </w:t>
            </w:r>
            <w:proofErr w:type="spellStart"/>
            <w:r>
              <w:t>etc</w:t>
            </w:r>
            <w:proofErr w:type="spellEnd"/>
            <w:r>
              <w:t xml:space="preserve">), cómo se abonarían al trabajador, si </w:t>
            </w:r>
            <w:proofErr w:type="spellStart"/>
            <w:r>
              <w:t>vÍa</w:t>
            </w:r>
            <w:proofErr w:type="spellEnd"/>
            <w:r>
              <w:t xml:space="preserve"> indemnización, </w:t>
            </w:r>
            <w:proofErr w:type="spellStart"/>
            <w:r>
              <w:t>vÍa</w:t>
            </w:r>
            <w:proofErr w:type="spellEnd"/>
            <w:r>
              <w:t xml:space="preserve"> suplido, o directamente, cuál es el tratamiento fiscal y contable, </w:t>
            </w:r>
            <w:proofErr w:type="spellStart"/>
            <w:r>
              <w:t>etc</w:t>
            </w:r>
            <w:proofErr w:type="spellEnd"/>
            <w:r>
              <w:t>, al igual si dichos gastos cotizarían o no.</w:t>
            </w:r>
          </w:p>
        </w:tc>
        <w:tc>
          <w:tcPr>
            <w:tcW w:w="2940" w:type="dxa"/>
          </w:tcPr>
          <w:p w:rsidR="00955C3A" w:rsidRDefault="0018311E">
            <w:r>
              <w:lastRenderedPageBreak/>
              <w:t>ANA MARIA SANZ VEGA</w:t>
            </w:r>
          </w:p>
        </w:tc>
      </w:tr>
      <w:tr w:rsidR="00605B20" w:rsidTr="00955C3A">
        <w:tc>
          <w:tcPr>
            <w:tcW w:w="11052" w:type="dxa"/>
          </w:tcPr>
          <w:p w:rsidR="00605B20" w:rsidRDefault="00605B20" w:rsidP="00605B20">
            <w:r w:rsidRPr="005659D2">
              <w:t xml:space="preserve"> </w:t>
            </w:r>
            <w:r>
              <w:rPr>
                <w:b/>
                <w:i/>
              </w:rPr>
              <w:t>ANALISIS DATOS MEDIANTE SERIES TEMPORALES</w:t>
            </w:r>
            <w:r w:rsidRPr="005659D2">
              <w:t xml:space="preserve">. </w:t>
            </w:r>
          </w:p>
          <w:p w:rsidR="00605B20" w:rsidRDefault="00605B20" w:rsidP="00605B20">
            <w:r w:rsidRPr="00605B20">
              <w:t xml:space="preserve">Se aplicarán métodos clásicos como ARIMA al estudio de series temporales de valores del IBEX. Por otra </w:t>
            </w:r>
            <w:proofErr w:type="gramStart"/>
            <w:r w:rsidRPr="00605B20">
              <w:t>parte</w:t>
            </w:r>
            <w:proofErr w:type="gramEnd"/>
            <w:r w:rsidRPr="00605B20">
              <w:t xml:space="preserve"> si es de </w:t>
            </w:r>
            <w:proofErr w:type="spellStart"/>
            <w:r w:rsidRPr="00605B20">
              <w:t>interes</w:t>
            </w:r>
            <w:proofErr w:type="spellEnd"/>
            <w:r w:rsidRPr="00605B20">
              <w:t xml:space="preserve"> del alumno se puede orientar el tema a estudiar el impacto de las distintas olas de incidencia del COVID en los valores del IBEX</w:t>
            </w:r>
          </w:p>
        </w:tc>
        <w:tc>
          <w:tcPr>
            <w:tcW w:w="2940" w:type="dxa"/>
          </w:tcPr>
          <w:p w:rsidR="00605B20" w:rsidRDefault="00605B20" w:rsidP="00605B20">
            <w:r w:rsidRPr="005659D2">
              <w:t xml:space="preserve"> </w:t>
            </w:r>
            <w:r w:rsidR="005F41A4">
              <w:t>HUGO</w:t>
            </w:r>
            <w:r w:rsidR="00E1759E">
              <w:t xml:space="preserve"> JOSE</w:t>
            </w:r>
            <w:r w:rsidR="005F41A4">
              <w:t xml:space="preserve"> BELLO</w:t>
            </w:r>
            <w:r w:rsidR="00E1759E">
              <w:t xml:space="preserve"> GUTIERREZ</w:t>
            </w:r>
          </w:p>
        </w:tc>
      </w:tr>
      <w:tr w:rsidR="00605B20" w:rsidTr="00955C3A">
        <w:tc>
          <w:tcPr>
            <w:tcW w:w="11052" w:type="dxa"/>
          </w:tcPr>
          <w:p w:rsidR="00605B20" w:rsidRDefault="00605B20" w:rsidP="00AA05D9">
            <w:pPr>
              <w:rPr>
                <w:b/>
                <w:i/>
              </w:rPr>
            </w:pPr>
            <w:r>
              <w:rPr>
                <w:b/>
                <w:i/>
              </w:rPr>
              <w:t>REGRESION HIPERBOLICA: METODO CLASICO CONTRA METODO DE FUERZA BRUTA. PRESENTACION E IMPLEMENTACION</w:t>
            </w:r>
          </w:p>
          <w:p w:rsidR="00605B20" w:rsidRPr="00605B20" w:rsidRDefault="00605B20" w:rsidP="00AA05D9">
            <w:r w:rsidRPr="00605B20">
              <w:t xml:space="preserve">Se confrontan, en una serie de casos concretos con datos </w:t>
            </w:r>
            <w:proofErr w:type="spellStart"/>
            <w:r w:rsidRPr="00605B20">
              <w:t>extraidos</w:t>
            </w:r>
            <w:proofErr w:type="spellEnd"/>
            <w:r w:rsidRPr="00605B20">
              <w:t xml:space="preserve"> de </w:t>
            </w:r>
            <w:proofErr w:type="spellStart"/>
            <w:r w:rsidRPr="00605B20">
              <w:t>suspuestos</w:t>
            </w:r>
            <w:proofErr w:type="spellEnd"/>
            <w:r w:rsidRPr="00605B20">
              <w:t xml:space="preserve"> lo más próximos posibles a los reales de casos relevantes para el mundo empresarial, de las técnicas de regresión hiperbólica frente a métodos de análisis directos no refinados.</w:t>
            </w:r>
          </w:p>
        </w:tc>
        <w:tc>
          <w:tcPr>
            <w:tcW w:w="2940" w:type="dxa"/>
          </w:tcPr>
          <w:p w:rsidR="00605B20" w:rsidRDefault="005F41A4">
            <w:r>
              <w:t>PABLO JIMENEZ RODRIGUEZ</w:t>
            </w:r>
          </w:p>
        </w:tc>
      </w:tr>
      <w:tr w:rsidR="00605B20" w:rsidTr="00955C3A">
        <w:tc>
          <w:tcPr>
            <w:tcW w:w="11052" w:type="dxa"/>
          </w:tcPr>
          <w:p w:rsidR="00605B20" w:rsidRDefault="00605B20" w:rsidP="00AA05D9">
            <w:r>
              <w:rPr>
                <w:b/>
                <w:i/>
              </w:rPr>
              <w:t>EMPLEO DE TECNICAS DE ANALISIS INPUT-OUTPUT EN PROBLEMAS EMPRESARIALES</w:t>
            </w:r>
            <w:r w:rsidRPr="00605B20">
              <w:t>.</w:t>
            </w:r>
          </w:p>
          <w:p w:rsidR="00605B20" w:rsidRDefault="00605B20" w:rsidP="00AA05D9">
            <w:r w:rsidRPr="00605B20">
              <w:t xml:space="preserve">Después de estudiar el empleo de las </w:t>
            </w:r>
            <w:proofErr w:type="spellStart"/>
            <w:r w:rsidRPr="00605B20">
              <w:t>récnicas</w:t>
            </w:r>
            <w:proofErr w:type="spellEnd"/>
            <w:r w:rsidRPr="00605B20">
              <w:t xml:space="preserve"> de análisis-input output consecuencia del método de </w:t>
            </w:r>
            <w:proofErr w:type="spellStart"/>
            <w:r w:rsidRPr="00605B20">
              <w:t>Leontief</w:t>
            </w:r>
            <w:proofErr w:type="spellEnd"/>
            <w:r w:rsidRPr="00605B20">
              <w:t>, se investigará una aplicación empresarial concreta de las mismas a una empresa real.</w:t>
            </w:r>
          </w:p>
          <w:p w:rsidR="00B95358" w:rsidRPr="00605B20" w:rsidRDefault="00B95358" w:rsidP="00AA05D9"/>
        </w:tc>
        <w:tc>
          <w:tcPr>
            <w:tcW w:w="2940" w:type="dxa"/>
          </w:tcPr>
          <w:p w:rsidR="00605B20" w:rsidRDefault="005F41A4">
            <w:r>
              <w:t>ANDRES RIAGUAS GUEDAN</w:t>
            </w:r>
          </w:p>
        </w:tc>
      </w:tr>
      <w:tr w:rsidR="00605B20" w:rsidTr="00955C3A">
        <w:tc>
          <w:tcPr>
            <w:tcW w:w="11052" w:type="dxa"/>
          </w:tcPr>
          <w:p w:rsidR="00605B20" w:rsidRDefault="00605B20" w:rsidP="00605B20">
            <w:pPr>
              <w:rPr>
                <w:b/>
                <w:i/>
              </w:rPr>
            </w:pPr>
            <w:r>
              <w:rPr>
                <w:b/>
                <w:i/>
              </w:rPr>
              <w:t>EMPLEO DE SERIES TEMPORALES EN APLICACIONES COMERCIALES</w:t>
            </w:r>
          </w:p>
          <w:p w:rsidR="00605B20" w:rsidRPr="00605B20" w:rsidRDefault="00605B20" w:rsidP="00605B20">
            <w:r>
              <w:t>C</w:t>
            </w:r>
            <w:r w:rsidRPr="00605B20">
              <w:t>on la ayuda de métodos estándar de análisis de series temporales se busca la aplicación de análisis de datos obtenidos en bases de datos de libre acceso para su aplicación a un problema empresarial concreto que ayude a establecer estrategias de suministros, oferta y de empleo en la empresa.</w:t>
            </w:r>
          </w:p>
        </w:tc>
        <w:tc>
          <w:tcPr>
            <w:tcW w:w="2940" w:type="dxa"/>
          </w:tcPr>
          <w:p w:rsidR="00605B20" w:rsidRDefault="005F41A4">
            <w:r>
              <w:t>ANDRES RIAGUAS GUEDAN</w:t>
            </w:r>
          </w:p>
        </w:tc>
      </w:tr>
    </w:tbl>
    <w:p w:rsidR="00955C3A" w:rsidRDefault="00955C3A"/>
    <w:p w:rsidR="00955C3A" w:rsidRDefault="00955C3A"/>
    <w:sectPr w:rsidR="00955C3A" w:rsidSect="00955C3A">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3A"/>
    <w:rsid w:val="0018311E"/>
    <w:rsid w:val="002069AD"/>
    <w:rsid w:val="00353A12"/>
    <w:rsid w:val="003C1FE9"/>
    <w:rsid w:val="004D138B"/>
    <w:rsid w:val="005F41A4"/>
    <w:rsid w:val="00605B20"/>
    <w:rsid w:val="006A1CD7"/>
    <w:rsid w:val="00847FB7"/>
    <w:rsid w:val="008922E0"/>
    <w:rsid w:val="00955C3A"/>
    <w:rsid w:val="00AA05D9"/>
    <w:rsid w:val="00B7793C"/>
    <w:rsid w:val="00B95358"/>
    <w:rsid w:val="00CB27DD"/>
    <w:rsid w:val="00CF5BBA"/>
    <w:rsid w:val="00E17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DA3A5-37A1-4F52-8957-0852F5B6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C3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55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f0a1d375">
    <w:name w:val="csf0a1d375"/>
    <w:basedOn w:val="Normal"/>
    <w:rsid w:val="00955C3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s5e98e9301">
    <w:name w:val="cs5e98e9301"/>
    <w:basedOn w:val="Fuentedeprrafopredeter"/>
    <w:rsid w:val="00955C3A"/>
  </w:style>
  <w:style w:type="character" w:customStyle="1" w:styleId="cs7f95de681">
    <w:name w:val="cs7f95de681"/>
    <w:basedOn w:val="Fuentedeprrafopredeter"/>
    <w:rsid w:val="00955C3A"/>
  </w:style>
  <w:style w:type="character" w:customStyle="1" w:styleId="csa16174ba1">
    <w:name w:val="csa16174ba1"/>
    <w:basedOn w:val="Fuentedeprrafopredeter"/>
    <w:rsid w:val="00955C3A"/>
  </w:style>
  <w:style w:type="character" w:customStyle="1" w:styleId="csd4c8f03b1">
    <w:name w:val="csd4c8f03b1"/>
    <w:basedOn w:val="Fuentedeprrafopredeter"/>
    <w:rsid w:val="00955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6758">
      <w:bodyDiv w:val="1"/>
      <w:marLeft w:val="0"/>
      <w:marRight w:val="0"/>
      <w:marTop w:val="0"/>
      <w:marBottom w:val="0"/>
      <w:divBdr>
        <w:top w:val="none" w:sz="0" w:space="0" w:color="auto"/>
        <w:left w:val="none" w:sz="0" w:space="0" w:color="auto"/>
        <w:bottom w:val="none" w:sz="0" w:space="0" w:color="auto"/>
        <w:right w:val="none" w:sz="0" w:space="0" w:color="auto"/>
      </w:divBdr>
    </w:div>
    <w:div w:id="663321903">
      <w:bodyDiv w:val="1"/>
      <w:marLeft w:val="0"/>
      <w:marRight w:val="0"/>
      <w:marTop w:val="0"/>
      <w:marBottom w:val="0"/>
      <w:divBdr>
        <w:top w:val="none" w:sz="0" w:space="0" w:color="auto"/>
        <w:left w:val="none" w:sz="0" w:space="0" w:color="auto"/>
        <w:bottom w:val="none" w:sz="0" w:space="0" w:color="auto"/>
        <w:right w:val="none" w:sz="0" w:space="0" w:color="auto"/>
      </w:divBdr>
    </w:div>
    <w:div w:id="667905252">
      <w:bodyDiv w:val="1"/>
      <w:marLeft w:val="0"/>
      <w:marRight w:val="0"/>
      <w:marTop w:val="0"/>
      <w:marBottom w:val="0"/>
      <w:divBdr>
        <w:top w:val="none" w:sz="0" w:space="0" w:color="auto"/>
        <w:left w:val="none" w:sz="0" w:space="0" w:color="auto"/>
        <w:bottom w:val="none" w:sz="0" w:space="0" w:color="auto"/>
        <w:right w:val="none" w:sz="0" w:space="0" w:color="auto"/>
      </w:divBdr>
    </w:div>
    <w:div w:id="1102921249">
      <w:bodyDiv w:val="1"/>
      <w:marLeft w:val="0"/>
      <w:marRight w:val="0"/>
      <w:marTop w:val="0"/>
      <w:marBottom w:val="0"/>
      <w:divBdr>
        <w:top w:val="none" w:sz="0" w:space="0" w:color="auto"/>
        <w:left w:val="none" w:sz="0" w:space="0" w:color="auto"/>
        <w:bottom w:val="none" w:sz="0" w:space="0" w:color="auto"/>
        <w:right w:val="none" w:sz="0" w:space="0" w:color="auto"/>
      </w:divBdr>
    </w:div>
    <w:div w:id="14943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2021-10-21T07:49:00Z</dcterms:created>
  <dcterms:modified xsi:type="dcterms:W3CDTF">2021-10-25T10:09:00Z</dcterms:modified>
</cp:coreProperties>
</file>